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0BFDAA" w14:textId="17D4D011" w:rsidR="006A1F90" w:rsidRPr="00D53B6F" w:rsidRDefault="00BF20AD" w:rsidP="006316C7">
      <w:pPr>
        <w:pStyle w:val="my-2"/>
        <w:jc w:val="center"/>
        <w:rPr>
          <w:rFonts w:ascii="Calibri" w:hAnsi="Calibri" w:cs="Calibri"/>
          <w:b/>
          <w:bCs/>
          <w:color w:val="000000" w:themeColor="text1"/>
        </w:rPr>
      </w:pPr>
      <w:r w:rsidRPr="00D53B6F">
        <w:rPr>
          <w:rStyle w:val="Strong"/>
          <w:rFonts w:ascii="Calibri" w:hAnsi="Calibri" w:cs="Calibri"/>
          <w:color w:val="000000" w:themeColor="text1"/>
        </w:rPr>
        <w:t xml:space="preserve">GNAPH </w:t>
      </w:r>
      <w:r w:rsidR="006A1F90" w:rsidRPr="00D53B6F">
        <w:rPr>
          <w:rStyle w:val="Strong"/>
          <w:rFonts w:ascii="Calibri" w:hAnsi="Calibri" w:cs="Calibri"/>
          <w:color w:val="000000" w:themeColor="text1"/>
        </w:rPr>
        <w:t>Climate and Health Communities of Practice (CoP)</w:t>
      </w:r>
      <w:r w:rsidR="006A1F90" w:rsidRPr="00D53B6F">
        <w:rPr>
          <w:rFonts w:ascii="Calibri" w:hAnsi="Calibri" w:cs="Calibri"/>
          <w:color w:val="000000" w:themeColor="text1"/>
        </w:rPr>
        <w:t xml:space="preserve"> </w:t>
      </w:r>
      <w:r w:rsidRPr="00D53B6F">
        <w:rPr>
          <w:rStyle w:val="Strong"/>
          <w:rFonts w:ascii="Calibri" w:hAnsi="Calibri" w:cs="Calibri"/>
          <w:color w:val="000000" w:themeColor="text1"/>
        </w:rPr>
        <w:t>Cross-Regional Learning Exchange:</w:t>
      </w:r>
      <w:r w:rsidR="006A1F90" w:rsidRPr="00D53B6F">
        <w:rPr>
          <w:rStyle w:val="Strong"/>
          <w:rFonts w:ascii="Calibri" w:hAnsi="Calibri" w:cs="Calibri"/>
          <w:color w:val="000000" w:themeColor="text1"/>
        </w:rPr>
        <w:t xml:space="preserve"> </w:t>
      </w:r>
      <w:r w:rsidRPr="00D53B6F">
        <w:rPr>
          <w:rStyle w:val="Strong"/>
          <w:rFonts w:ascii="Calibri" w:hAnsi="Calibri" w:cs="Calibri"/>
          <w:color w:val="000000" w:themeColor="text1"/>
        </w:rPr>
        <w:t>Integrating Climate Change into Public Health Education</w:t>
      </w:r>
      <w:r w:rsidR="006316C7">
        <w:rPr>
          <w:rStyle w:val="Strong"/>
          <w:rFonts w:ascii="Calibri" w:hAnsi="Calibri" w:cs="Calibri"/>
          <w:color w:val="000000" w:themeColor="text1"/>
        </w:rPr>
        <w:br/>
      </w:r>
    </w:p>
    <w:p w14:paraId="7871EA9C" w14:textId="0541E49F" w:rsidR="00D53B6F" w:rsidRDefault="00D53B6F" w:rsidP="006A1F90">
      <w:pPr>
        <w:pStyle w:val="my-2"/>
        <w:jc w:val="both"/>
        <w:rPr>
          <w:rFonts w:ascii="Calibri" w:hAnsi="Calibri" w:cs="Calibri"/>
          <w:color w:val="000000"/>
        </w:rPr>
      </w:pPr>
      <w:r w:rsidRPr="00D53B6F">
        <w:rPr>
          <w:rFonts w:ascii="Calibri" w:hAnsi="Calibri" w:cs="Calibri"/>
          <w:color w:val="000000"/>
        </w:rPr>
        <w:t xml:space="preserve">Week 8 of the </w:t>
      </w:r>
      <w:r w:rsidR="006316C7" w:rsidRPr="00D53B6F">
        <w:rPr>
          <w:rStyle w:val="Strong"/>
          <w:rFonts w:ascii="Calibri" w:hAnsi="Calibri" w:cs="Calibri"/>
          <w:b w:val="0"/>
          <w:bCs w:val="0"/>
          <w:color w:val="000000" w:themeColor="text1"/>
        </w:rPr>
        <w:t>Global Network for Academic Public Health (GNAPH) Climate and Health</w:t>
      </w:r>
      <w:r w:rsidR="006316C7" w:rsidRPr="00D53B6F">
        <w:rPr>
          <w:rFonts w:ascii="Calibri" w:hAnsi="Calibri" w:cs="Calibri"/>
          <w:color w:val="000000"/>
        </w:rPr>
        <w:t xml:space="preserve"> Community of Practice (CoP)</w:t>
      </w:r>
      <w:r w:rsidRPr="00D53B6F">
        <w:rPr>
          <w:rFonts w:ascii="Calibri" w:hAnsi="Calibri" w:cs="Calibri"/>
          <w:color w:val="000000"/>
        </w:rPr>
        <w:t xml:space="preserve"> was held on 6 August 2026 as a joint cross-regional learning exchange involving </w:t>
      </w:r>
      <w:r w:rsidR="006316C7">
        <w:rPr>
          <w:rFonts w:ascii="Calibri" w:hAnsi="Calibri" w:cs="Calibri"/>
          <w:color w:val="000000"/>
        </w:rPr>
        <w:t xml:space="preserve">the </w:t>
      </w:r>
      <w:r w:rsidR="006316C7" w:rsidRPr="00D53B6F">
        <w:rPr>
          <w:rStyle w:val="Strong"/>
          <w:rFonts w:ascii="Calibri" w:hAnsi="Calibri" w:cs="Calibri"/>
          <w:b w:val="0"/>
          <w:bCs w:val="0"/>
          <w:color w:val="000000" w:themeColor="text1"/>
        </w:rPr>
        <w:t>Asia-Pacific Academic Consortium for Public Health</w:t>
      </w:r>
      <w:r w:rsidR="006316C7" w:rsidRPr="00D53B6F">
        <w:rPr>
          <w:rFonts w:ascii="Calibri" w:hAnsi="Calibri" w:cs="Calibri"/>
          <w:color w:val="000000" w:themeColor="text1"/>
        </w:rPr>
        <w:t xml:space="preserve"> (APACPH), </w:t>
      </w:r>
      <w:r w:rsidR="006316C7" w:rsidRPr="00D53B6F">
        <w:rPr>
          <w:rFonts w:ascii="Calibri" w:hAnsi="Calibri" w:cs="Calibri"/>
          <w:color w:val="000000" w:themeColor="text1"/>
          <w:shd w:val="clear" w:color="auto" w:fill="FFFFFF"/>
        </w:rPr>
        <w:t>Council of Academic Public Health Institutions Australasia</w:t>
      </w:r>
      <w:r w:rsidR="006316C7" w:rsidRPr="00D53B6F">
        <w:rPr>
          <w:rFonts w:ascii="Calibri" w:hAnsi="Calibri" w:cs="Calibri"/>
          <w:color w:val="000000" w:themeColor="text1"/>
        </w:rPr>
        <w:t xml:space="preserve"> (CAPHIA), and </w:t>
      </w:r>
      <w:r w:rsidR="006316C7" w:rsidRPr="00D53B6F">
        <w:rPr>
          <w:rStyle w:val="inqyif"/>
          <w:rFonts w:ascii="Calibri" w:hAnsi="Calibri" w:cs="Calibri"/>
          <w:color w:val="000000" w:themeColor="text1"/>
        </w:rPr>
        <w:t>South-East Asia Public Health Education Institution Network (</w:t>
      </w:r>
      <w:r w:rsidR="006316C7" w:rsidRPr="00D53B6F">
        <w:rPr>
          <w:rFonts w:ascii="Calibri" w:hAnsi="Calibri" w:cs="Calibri"/>
          <w:color w:val="000000" w:themeColor="text1"/>
        </w:rPr>
        <w:t>SEAPHEIN)</w:t>
      </w:r>
      <w:r w:rsidRPr="00D53B6F">
        <w:rPr>
          <w:rFonts w:ascii="Calibri" w:hAnsi="Calibri" w:cs="Calibri"/>
          <w:color w:val="000000"/>
        </w:rPr>
        <w:t>. The session brought together participants from the Western Pacific and South Asia to reflect on the first seven training sessions and share how climate and health concepts were being incorporated into their curricula. It also provided an opportunity to strengthen collaboration, compare regional approaches, and identify opportunities for developing shared educational resources</w:t>
      </w:r>
      <w:r>
        <w:rPr>
          <w:rFonts w:ascii="-webkit-standard" w:hAnsi="-webkit-standard"/>
          <w:color w:val="000000"/>
          <w:sz w:val="27"/>
          <w:szCs w:val="27"/>
        </w:rPr>
        <w:t>.</w:t>
      </w:r>
    </w:p>
    <w:p w14:paraId="45F51817" w14:textId="5EC53C37" w:rsidR="006316C7" w:rsidRPr="006316C7" w:rsidRDefault="006316C7" w:rsidP="006A1F90">
      <w:pPr>
        <w:pStyle w:val="my-2"/>
        <w:jc w:val="both"/>
        <w:rPr>
          <w:rFonts w:ascii="Calibri" w:hAnsi="Calibri" w:cs="Calibri"/>
          <w:color w:val="000000"/>
        </w:rPr>
      </w:pPr>
      <w:r w:rsidRPr="006316C7">
        <w:rPr>
          <w:rFonts w:ascii="Calibri" w:hAnsi="Calibri" w:cs="Calibri"/>
          <w:color w:val="000000"/>
        </w:rPr>
        <w:t>The session began with a welcome and review of the learning journey. Dr Bala explained that the earlier sessions had progressed from foundational concepts, including climate</w:t>
      </w:r>
      <w:r>
        <w:rPr>
          <w:rFonts w:ascii="Calibri" w:hAnsi="Calibri" w:cs="Calibri"/>
          <w:color w:val="000000"/>
        </w:rPr>
        <w:t>-</w:t>
      </w:r>
      <w:r w:rsidRPr="006316C7">
        <w:rPr>
          <w:rFonts w:ascii="Calibri" w:hAnsi="Calibri" w:cs="Calibri"/>
          <w:color w:val="000000"/>
        </w:rPr>
        <w:t>health linkages and systems thinking, to curriculum mapping and integration. Week 8 was designed as a practical exchange in which each consortium could reflect on its progress and learn from the experiences of others. The main objectives were to share lessons learned, compare teaching approaches, exchange examples of modules and assessment strategies, and explore future collaboration across the GNAPH network.</w:t>
      </w:r>
    </w:p>
    <w:p w14:paraId="0298FC95" w14:textId="32FD32AA" w:rsidR="002F7EAF" w:rsidRPr="00D53B6F" w:rsidRDefault="002F7EAF" w:rsidP="006A1F90">
      <w:pPr>
        <w:pStyle w:val="my-2"/>
        <w:jc w:val="both"/>
        <w:rPr>
          <w:rFonts w:ascii="Calibri" w:hAnsi="Calibri" w:cs="Calibri"/>
          <w:color w:val="000000"/>
        </w:rPr>
      </w:pPr>
      <w:r w:rsidRPr="00D53B6F">
        <w:rPr>
          <w:rFonts w:ascii="Calibri" w:hAnsi="Calibri" w:cs="Calibri"/>
          <w:color w:val="000000"/>
        </w:rPr>
        <w:t xml:space="preserve">Each consortium presented a distinct but complementary experience. </w:t>
      </w:r>
      <w:r w:rsidR="006316C7" w:rsidRPr="00D53B6F">
        <w:rPr>
          <w:rFonts w:ascii="Calibri" w:hAnsi="Calibri" w:cs="Calibri"/>
          <w:color w:val="000000"/>
        </w:rPr>
        <w:t>APACPH reported a highly engag</w:t>
      </w:r>
      <w:r w:rsidR="006316C7">
        <w:rPr>
          <w:rFonts w:ascii="Calibri" w:hAnsi="Calibri" w:cs="Calibri"/>
          <w:color w:val="000000"/>
        </w:rPr>
        <w:t>ing</w:t>
      </w:r>
      <w:r w:rsidR="006316C7" w:rsidRPr="00D53B6F">
        <w:rPr>
          <w:rFonts w:ascii="Calibri" w:hAnsi="Calibri" w:cs="Calibri"/>
          <w:color w:val="000000"/>
        </w:rPr>
        <w:t xml:space="preserve"> </w:t>
      </w:r>
      <w:r w:rsidR="006316C7">
        <w:rPr>
          <w:rFonts w:ascii="Calibri" w:hAnsi="Calibri" w:cs="Calibri"/>
          <w:color w:val="000000"/>
        </w:rPr>
        <w:t xml:space="preserve">previous seven </w:t>
      </w:r>
      <w:r w:rsidR="006316C7" w:rsidRPr="00D53B6F">
        <w:rPr>
          <w:rFonts w:ascii="Calibri" w:hAnsi="Calibri" w:cs="Calibri"/>
          <w:color w:val="000000"/>
        </w:rPr>
        <w:t xml:space="preserve">sessions with breakout groups addressing heat waves, air pollution, and floods and vector-borne disease. These discussions led to practical curriculum ideas such as using policy briefs for assessment, incorporating spatial epidemiology, and shifting from narrow disease framing to broader systems thinking. </w:t>
      </w:r>
      <w:r w:rsidR="006316C7" w:rsidRPr="006316C7">
        <w:rPr>
          <w:rFonts w:ascii="Calibri" w:hAnsi="Calibri" w:cs="Calibri"/>
          <w:color w:val="000000"/>
        </w:rPr>
        <w:t>A central message from APACPH was that climate change must not be treated as a siloed topic, instead, it requires interdisciplinary engagement, stakeholder involvement, and teaching approaches that integrate regional realities and community adaptation practices.</w:t>
      </w:r>
      <w:r w:rsidR="006316C7" w:rsidRPr="00D53B6F">
        <w:rPr>
          <w:rFonts w:ascii="Calibri" w:hAnsi="Calibri" w:cs="Calibri"/>
          <w:color w:val="000000"/>
        </w:rPr>
        <w:t xml:space="preserve"> </w:t>
      </w:r>
      <w:r w:rsidRPr="00D53B6F">
        <w:rPr>
          <w:rFonts w:ascii="Calibri" w:hAnsi="Calibri" w:cs="Calibri"/>
          <w:color w:val="000000"/>
        </w:rPr>
        <w:t xml:space="preserve">CAPHIA reported that participants had initially worked through the common global materials before adapting the process to their own strengths and interests. Their main focus had been curriculum mapping and embedding climate and health into undergraduate and postgraduate public health programs. CAPHIA also highlighted its newly released competency framework, which includes climate, place, and health as a dedicated domain. SEAPHEIN described active use of the GNAPH competency framework, with a regional emphasis on extreme heat and health. Participants from India, Bangladesh, and Nepal had completed curriculum mapping and lecture integration, and were preparing to incorporate these changes into MPH programs. The group also extended its learning sequence beyond the original plan to allow time for refinement. </w:t>
      </w:r>
    </w:p>
    <w:p w14:paraId="7A77DFD7" w14:textId="2200E819" w:rsidR="002604EB" w:rsidRDefault="002F7EAF" w:rsidP="006316C7">
      <w:pPr>
        <w:pStyle w:val="my-2"/>
        <w:jc w:val="both"/>
        <w:rPr>
          <w:rFonts w:ascii="Calibri" w:hAnsi="Calibri" w:cs="Calibri"/>
          <w:color w:val="000000"/>
        </w:rPr>
      </w:pPr>
      <w:r w:rsidRPr="00D53B6F">
        <w:rPr>
          <w:rFonts w:ascii="Calibri" w:hAnsi="Calibri" w:cs="Calibri"/>
          <w:color w:val="000000"/>
        </w:rPr>
        <w:t>In plenary, participants emphasised several shared themes. These included the importance of local and Indigenous knowledge, the need to extend climate and health teaching beyond public health into other disciplines, and the value of active learning methods such as case studies, brainstorming, and small-group discussion. The session closed with strong agreement that cross-regional collaboration is helping participants move from theory to implementation, while building more contextually relevant and competency-based climate and health education.</w:t>
      </w:r>
    </w:p>
    <w:p w14:paraId="76C1F429" w14:textId="57891F8B" w:rsidR="00910072" w:rsidRDefault="00910072" w:rsidP="006316C7">
      <w:pPr>
        <w:pStyle w:val="my-2"/>
        <w:jc w:val="both"/>
        <w:rPr>
          <w:rFonts w:ascii="Calibri" w:hAnsi="Calibri" w:cs="Calibri"/>
          <w:color w:val="000000"/>
        </w:rPr>
      </w:pPr>
      <w:r>
        <w:rPr>
          <w:rFonts w:ascii="Calibri" w:hAnsi="Calibri" w:cs="Calibri"/>
          <w:noProof/>
          <w:color w:val="000000"/>
          <w14:ligatures w14:val="standardContextual"/>
        </w:rPr>
        <w:lastRenderedPageBreak/>
        <w:drawing>
          <wp:inline distT="0" distB="0" distL="0" distR="0" wp14:anchorId="428C0C9C" wp14:editId="56E5BB7A">
            <wp:extent cx="5754255" cy="5053649"/>
            <wp:effectExtent l="0" t="0" r="0" b="1270"/>
            <wp:docPr id="330279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279982" name="Picture 330279982"/>
                    <pic:cNvPicPr/>
                  </pic:nvPicPr>
                  <pic:blipFill rotWithShape="1">
                    <a:blip r:embed="rId4">
                      <a:extLst>
                        <a:ext uri="{28A0092B-C50C-407E-A947-70E740481C1C}">
                          <a14:useLocalDpi xmlns:a14="http://schemas.microsoft.com/office/drawing/2010/main" val="0"/>
                        </a:ext>
                      </a:extLst>
                    </a:blip>
                    <a:srcRect t="10782" r="29561" b="6739"/>
                    <a:stretch>
                      <a:fillRect/>
                    </a:stretch>
                  </pic:blipFill>
                  <pic:spPr bwMode="auto">
                    <a:xfrm>
                      <a:off x="0" y="0"/>
                      <a:ext cx="5787952" cy="5083243"/>
                    </a:xfrm>
                    <a:prstGeom prst="rect">
                      <a:avLst/>
                    </a:prstGeom>
                    <a:ln>
                      <a:noFill/>
                    </a:ln>
                    <a:extLst>
                      <a:ext uri="{53640926-AAD7-44D8-BBD7-CCE9431645EC}">
                        <a14:shadowObscured xmlns:a14="http://schemas.microsoft.com/office/drawing/2010/main"/>
                      </a:ext>
                    </a:extLst>
                  </pic:spPr>
                </pic:pic>
              </a:graphicData>
            </a:graphic>
          </wp:inline>
        </w:drawing>
      </w:r>
    </w:p>
    <w:p w14:paraId="474D763D" w14:textId="77777777" w:rsidR="00F5262A" w:rsidRDefault="00F5262A" w:rsidP="006316C7">
      <w:pPr>
        <w:pStyle w:val="my-2"/>
        <w:jc w:val="both"/>
        <w:rPr>
          <w:rFonts w:ascii="Calibri" w:hAnsi="Calibri" w:cs="Calibri"/>
          <w:color w:val="000000"/>
        </w:rPr>
      </w:pPr>
    </w:p>
    <w:p w14:paraId="6D208CFD" w14:textId="303708B0" w:rsidR="00F5262A" w:rsidRPr="006316C7" w:rsidRDefault="00F5262A" w:rsidP="006316C7">
      <w:pPr>
        <w:pStyle w:val="my-2"/>
        <w:jc w:val="both"/>
        <w:rPr>
          <w:rFonts w:ascii="Calibri" w:hAnsi="Calibri" w:cs="Calibri"/>
          <w:color w:val="000000"/>
        </w:rPr>
      </w:pPr>
      <w:r>
        <w:rPr>
          <w:rFonts w:ascii="Calibri" w:hAnsi="Calibri" w:cs="Calibri"/>
          <w:noProof/>
          <w:color w:val="000000"/>
          <w14:ligatures w14:val="standardContextual"/>
        </w:rPr>
        <w:lastRenderedPageBreak/>
        <w:drawing>
          <wp:inline distT="0" distB="0" distL="0" distR="0" wp14:anchorId="4A5509B9" wp14:editId="07A91FB8">
            <wp:extent cx="5597236" cy="5324473"/>
            <wp:effectExtent l="0" t="0" r="3810" b="0"/>
            <wp:docPr id="1384374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374140" name="Picture 1384374140"/>
                    <pic:cNvPicPr/>
                  </pic:nvPicPr>
                  <pic:blipFill rotWithShape="1">
                    <a:blip r:embed="rId5">
                      <a:extLst>
                        <a:ext uri="{28A0092B-C50C-407E-A947-70E740481C1C}">
                          <a14:useLocalDpi xmlns:a14="http://schemas.microsoft.com/office/drawing/2010/main" val="0"/>
                        </a:ext>
                      </a:extLst>
                    </a:blip>
                    <a:srcRect l="8221" t="4512" r="25536" b="11474"/>
                    <a:stretch>
                      <a:fillRect/>
                    </a:stretch>
                  </pic:blipFill>
                  <pic:spPr bwMode="auto">
                    <a:xfrm>
                      <a:off x="0" y="0"/>
                      <a:ext cx="5610914" cy="5337485"/>
                    </a:xfrm>
                    <a:prstGeom prst="rect">
                      <a:avLst/>
                    </a:prstGeom>
                    <a:ln>
                      <a:noFill/>
                    </a:ln>
                    <a:extLst>
                      <a:ext uri="{53640926-AAD7-44D8-BBD7-CCE9431645EC}">
                        <a14:shadowObscured xmlns:a14="http://schemas.microsoft.com/office/drawing/2010/main"/>
                      </a:ext>
                    </a:extLst>
                  </pic:spPr>
                </pic:pic>
              </a:graphicData>
            </a:graphic>
          </wp:inline>
        </w:drawing>
      </w:r>
    </w:p>
    <w:sectPr w:rsidR="00F5262A" w:rsidRPr="006316C7" w:rsidSect="006316C7">
      <w:pgSz w:w="11906" w:h="16838"/>
      <w:pgMar w:top="131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webkit-standard">
    <w:altName w:val="Cambria"/>
    <w:panose1 w:val="020B0604020202020204"/>
    <w:charset w:val="00"/>
    <w:family w:val="roman"/>
    <w:notTrueType/>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EAF"/>
    <w:rsid w:val="002604EB"/>
    <w:rsid w:val="002F7EAF"/>
    <w:rsid w:val="003A1E74"/>
    <w:rsid w:val="006316C7"/>
    <w:rsid w:val="006A1F90"/>
    <w:rsid w:val="00910072"/>
    <w:rsid w:val="009755F3"/>
    <w:rsid w:val="00BC3D73"/>
    <w:rsid w:val="00BF20AD"/>
    <w:rsid w:val="00D5356D"/>
    <w:rsid w:val="00D53B6F"/>
    <w:rsid w:val="00F5262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4:docId w14:val="76988933"/>
  <w15:chartTrackingRefBased/>
  <w15:docId w15:val="{51EBFA84-E5FB-A947-967B-1923C6103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E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7E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7E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7E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7E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7E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7E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7E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7E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E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7E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7E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7E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7E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7E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7E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7E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7EAF"/>
    <w:rPr>
      <w:rFonts w:eastAsiaTheme="majorEastAsia" w:cstheme="majorBidi"/>
      <w:color w:val="272727" w:themeColor="text1" w:themeTint="D8"/>
    </w:rPr>
  </w:style>
  <w:style w:type="paragraph" w:styleId="Title">
    <w:name w:val="Title"/>
    <w:basedOn w:val="Normal"/>
    <w:next w:val="Normal"/>
    <w:link w:val="TitleChar"/>
    <w:uiPriority w:val="10"/>
    <w:qFormat/>
    <w:rsid w:val="002F7E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7E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7E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7E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7EAF"/>
    <w:pPr>
      <w:spacing w:before="160"/>
      <w:jc w:val="center"/>
    </w:pPr>
    <w:rPr>
      <w:i/>
      <w:iCs/>
      <w:color w:val="404040" w:themeColor="text1" w:themeTint="BF"/>
    </w:rPr>
  </w:style>
  <w:style w:type="character" w:customStyle="1" w:styleId="QuoteChar">
    <w:name w:val="Quote Char"/>
    <w:basedOn w:val="DefaultParagraphFont"/>
    <w:link w:val="Quote"/>
    <w:uiPriority w:val="29"/>
    <w:rsid w:val="002F7EAF"/>
    <w:rPr>
      <w:i/>
      <w:iCs/>
      <w:color w:val="404040" w:themeColor="text1" w:themeTint="BF"/>
    </w:rPr>
  </w:style>
  <w:style w:type="paragraph" w:styleId="ListParagraph">
    <w:name w:val="List Paragraph"/>
    <w:basedOn w:val="Normal"/>
    <w:uiPriority w:val="34"/>
    <w:qFormat/>
    <w:rsid w:val="002F7EAF"/>
    <w:pPr>
      <w:ind w:left="720"/>
      <w:contextualSpacing/>
    </w:pPr>
  </w:style>
  <w:style w:type="character" w:styleId="IntenseEmphasis">
    <w:name w:val="Intense Emphasis"/>
    <w:basedOn w:val="DefaultParagraphFont"/>
    <w:uiPriority w:val="21"/>
    <w:qFormat/>
    <w:rsid w:val="002F7EAF"/>
    <w:rPr>
      <w:i/>
      <w:iCs/>
      <w:color w:val="0F4761" w:themeColor="accent1" w:themeShade="BF"/>
    </w:rPr>
  </w:style>
  <w:style w:type="paragraph" w:styleId="IntenseQuote">
    <w:name w:val="Intense Quote"/>
    <w:basedOn w:val="Normal"/>
    <w:next w:val="Normal"/>
    <w:link w:val="IntenseQuoteChar"/>
    <w:uiPriority w:val="30"/>
    <w:qFormat/>
    <w:rsid w:val="002F7E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7EAF"/>
    <w:rPr>
      <w:i/>
      <w:iCs/>
      <w:color w:val="0F4761" w:themeColor="accent1" w:themeShade="BF"/>
    </w:rPr>
  </w:style>
  <w:style w:type="character" w:styleId="IntenseReference">
    <w:name w:val="Intense Reference"/>
    <w:basedOn w:val="DefaultParagraphFont"/>
    <w:uiPriority w:val="32"/>
    <w:qFormat/>
    <w:rsid w:val="002F7EAF"/>
    <w:rPr>
      <w:b/>
      <w:bCs/>
      <w:smallCaps/>
      <w:color w:val="0F4761" w:themeColor="accent1" w:themeShade="BF"/>
      <w:spacing w:val="5"/>
    </w:rPr>
  </w:style>
  <w:style w:type="paragraph" w:customStyle="1" w:styleId="my-2">
    <w:name w:val="my-2"/>
    <w:basedOn w:val="Normal"/>
    <w:rsid w:val="002F7EA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itation">
    <w:name w:val="citation"/>
    <w:basedOn w:val="DefaultParagraphFont"/>
    <w:rsid w:val="002F7EAF"/>
  </w:style>
  <w:style w:type="character" w:customStyle="1" w:styleId="inline-block">
    <w:name w:val="inline-block"/>
    <w:basedOn w:val="DefaultParagraphFont"/>
    <w:rsid w:val="002F7EAF"/>
  </w:style>
  <w:style w:type="character" w:styleId="Strong">
    <w:name w:val="Strong"/>
    <w:basedOn w:val="DefaultParagraphFont"/>
    <w:uiPriority w:val="22"/>
    <w:qFormat/>
    <w:rsid w:val="00BF20AD"/>
    <w:rPr>
      <w:b/>
      <w:bCs/>
    </w:rPr>
  </w:style>
  <w:style w:type="character" w:customStyle="1" w:styleId="inqyif">
    <w:name w:val="inqyif"/>
    <w:basedOn w:val="DefaultParagraphFont"/>
    <w:rsid w:val="00D53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533</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BAIRAVE A/P SAMBAGAM@SHUNNMUGAM</dc:creator>
  <cp:keywords/>
  <dc:description/>
  <cp:lastModifiedBy>BAIRAVE A/P SAMBAGAM@SHUNNMUGAM</cp:lastModifiedBy>
  <cp:revision>2</cp:revision>
  <dcterms:created xsi:type="dcterms:W3CDTF">2026-08-11T03:12:00Z</dcterms:created>
  <dcterms:modified xsi:type="dcterms:W3CDTF">2026-08-11T04:27:00Z</dcterms:modified>
</cp:coreProperties>
</file>